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single" w:color="1E3A5F" w:sz="12"/>
              <w:right w:val="none"/>
            </w:tcBorders>
            <w:shd w:fill="1E3A5F" w:val="clear"/>
            <w:tcMar>
              <w:top w:type="dxa" w:w="200"/>
              <w:left w:type="dxa" w:w="120"/>
              <w:bottom w:type="dxa" w:w="200"/>
              <w:right w:type="dxa" w:w="120"/>
            </w:tcMar>
          </w:tcPr>
          <w:p>
            <w:pPr>
              <w:spacing w:after="80"/>
              <w:jc w:val="center"/>
            </w:pPr>
            <w:r>
              <w:rPr>
                <w:b/>
                <w:bCs/>
                <w:color w:val="FFFFFF"/>
                <w:sz w:val="48"/>
                <w:szCs w:val="48"/>
                <w:rFonts w:ascii="Arial" w:cs="Arial" w:eastAsia="Arial" w:hAnsi="Arial"/>
              </w:rPr>
              <w:t xml:space="preserve">DUMBO Demographics Research</w:t>
            </w:r>
          </w:p>
          <w:p>
            <w:pPr>
              <w:spacing w:after="80"/>
              <w:jc w:val="center"/>
            </w:pPr>
            <w:r>
              <w:rPr>
                <w:color w:val="E8F0F8"/>
                <w:sz w:val="28"/>
                <w:szCs w:val="28"/>
                <w:rFonts w:ascii="Arial" w:cs="Arial" w:eastAsia="Arial" w:hAnsi="Arial"/>
              </w:rPr>
              <w:t xml:space="preserve">Perfect Neighbor — Market Validation</w:t>
            </w:r>
          </w:p>
          <w:p>
            <w:pPr>
              <w:jc w:val="center"/>
            </w:pPr>
            <w:r>
              <w:rPr>
                <w:i/>
                <w:iCs/>
                <w:color w:val="B8D4E8"/>
                <w:sz w:val="22"/>
                <w:szCs w:val="22"/>
                <w:rFonts w:ascii="Arial" w:cs="Arial" w:eastAsia="Arial" w:hAnsi="Arial"/>
              </w:rPr>
              <w:t xml:space="preserve">Updated March 2026</w:t>
            </w:r>
          </w:p>
        </w:tc>
      </w:tr>
    </w:tbl>
    <w:p>
      <w:pPr>
        <w:spacing w:after="240"/>
      </w:pPr>
    </w:p>
    <w:p>
      <w:pPr>
        <w:pStyle w:val="Heading1"/>
        <w:spacing w:after="200"/>
      </w:pPr>
      <w:r>
        <w:rPr>
          <w:b/>
          <w:bCs/>
          <w:color w:val="1E3A5F"/>
          <w:sz w:val="32"/>
          <w:szCs w:val="32"/>
          <w:rFonts w:ascii="Arial" w:cs="Arial" w:eastAsia="Arial" w:hAnsi="Arial"/>
        </w:rPr>
        <w:t xml:space="preserve">Executive Summary</w:t>
      </w:r>
    </w:p>
    <w:p>
      <w:pPr>
        <w:spacing w:after="240"/>
      </w:pPr>
      <w:r>
        <w:rPr>
          <w:sz w:val="22"/>
          <w:szCs w:val="22"/>
          <w:rFonts w:ascii="Arial" w:cs="Arial" w:eastAsia="Arial" w:hAnsi="Arial"/>
        </w:rPr>
        <w:t xml:space="preserve">DUMBO is an ideal launchpad for Perfect Neighbor due to its unique combination of demographic homogeneity, residential stability, high family concentration, and geographic compactness. This research maps each demographic factor to specific product implications.</w:t>
      </w:r>
    </w:p>
    <w:p>
      <w:pPr>
        <w:spacing w:after="120"/>
      </w:pPr>
    </w:p>
    <w:p>
      <w:pPr>
        <w:pStyle w:val="Heading1"/>
        <w:spacing w:before="100" w:after="200"/>
      </w:pPr>
      <w:r>
        <w:rPr>
          <w:b/>
          <w:bCs/>
          <w:color w:val="1E3A5F"/>
          <w:sz w:val="32"/>
          <w:szCs w:val="32"/>
          <w:rFonts w:ascii="Arial" w:cs="Arial" w:eastAsia="Arial" w:hAnsi="Arial"/>
        </w:rPr>
        <w:t xml:space="preserve">1. Population &amp; Geography</w:t>
      </w:r>
    </w:p>
    <w:p>
      <w:pPr>
        <w:spacing w:after="120"/>
      </w:pPr>
      <w:r>
        <w:rPr>
          <w:b/>
          <w:bCs/>
          <w:sz w:val="22"/>
          <w:szCs w:val="22"/>
          <w:rFonts w:ascii="Arial" w:cs="Arial" w:eastAsia="Arial" w:hAnsi="Arial"/>
        </w:rPr>
        <w:t xml:space="preserve">DUMBO Population: ~5,700 (out of Brooklyn's 2.7M — 0.2%)</w:t>
      </w:r>
    </w:p>
    <w:p>
      <w:pPr>
        <w:pStyle w:val="ListParagraph"/>
        <w:numPr>
          <w:ilvl w:val="0"/>
          <w:numId w:val="2"/>
        </w:numPr>
        <w:spacing w:after="100"/>
      </w:pPr>
      <w:r>
        <w:rPr>
          <w:sz w:val="22"/>
          <w:szCs w:val="22"/>
          <w:rFonts w:ascii="Arial" w:cs="Arial" w:eastAsia="Arial" w:hAnsi="Arial"/>
        </w:rPr>
        <w:t xml:space="preserve">Geographic footprint: ~0.1 sq mi — one of NYC's most compact neighborhoods</w:t>
      </w:r>
    </w:p>
    <w:p>
      <w:pPr>
        <w:pStyle w:val="ListParagraph"/>
        <w:numPr>
          <w:ilvl w:val="0"/>
          <w:numId w:val="2"/>
        </w:numPr>
        <w:spacing w:after="200"/>
      </w:pPr>
      <w:r>
        <w:rPr>
          <w:sz w:val="22"/>
          <w:szCs w:val="22"/>
          <w:rFonts w:ascii="Arial" w:cs="Arial" w:eastAsia="Arial" w:hAnsi="Arial"/>
        </w:rPr>
        <w:t xml:space="preserve">57% live in large buildings (50+ units)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D7A3F" w:sz="8"/>
              <w:left w:val="single" w:color="2D7A3F" w:sz="12"/>
              <w:bottom w:val="single" w:color="2D7A3F" w:sz="8"/>
              <w:right w:val="single" w:color="2D7A3F" w:sz="8"/>
            </w:tcBorders>
            <w:shd w:fill="F0F8F0" w:val="clear"/>
            <w:tcMar>
              <w:top w:type="dxa" w:w="100"/>
              <w:left w:type="dxa" w:w="120"/>
              <w:bottom w:type="dxa" w:w="100"/>
              <w:right w:type="dxa" w:w="120"/>
            </w:tcMar>
          </w:tcPr>
          <w:p>
            <w:pPr>
              <w:spacing w:after="120"/>
            </w:pPr>
            <w:r>
              <w:rPr>
                <w:b/>
                <w:bCs/>
                <w:color w:val="2D7A3F"/>
                <w:sz w:val="24"/>
                <w:szCs w:val="24"/>
                <w:rFonts w:ascii="Arial" w:cs="Arial" w:eastAsia="Arial" w:hAnsi="Arial"/>
              </w:rPr>
              <w:t xml:space="preserve">→ So What for PBN</w:t>
            </w:r>
          </w:p>
          <w:p>
            <w:r>
              <w:rPr>
                <w:color w:val="333333"/>
                <w:sz w:val="22"/>
                <w:szCs w:val="22"/>
                <w:rFonts w:ascii="Arial" w:cs="Arial" w:eastAsia="Arial" w:hAnsi="Arial"/>
              </w:rPr>
              <w:t xml:space="preserve">Tiny geography + dense buildings = high encounter frequency. Residents bump into each other constantly. This is the foundation of trust-based mutual aid.</w:t>
            </w:r>
          </w:p>
        </w:tc>
      </w:tr>
    </w:tbl>
    <w:p>
      <w:pPr>
        <w:spacing w:after="240"/>
      </w:pPr>
    </w:p>
    <w:p>
      <w:pPr>
        <w:pStyle w:val="Heading1"/>
        <w:spacing w:before="100" w:after="200"/>
      </w:pPr>
      <w:r>
        <w:rPr>
          <w:b/>
          <w:bCs/>
          <w:color w:val="1E3A5F"/>
          <w:sz w:val="32"/>
          <w:szCs w:val="32"/>
          <w:rFonts w:ascii="Arial" w:cs="Arial" w:eastAsia="Arial" w:hAnsi="Arial"/>
        </w:rPr>
        <w:t xml:space="preserve">2. The Homogeneity Advantage</w:t>
      </w:r>
    </w:p>
    <w:p>
      <w:pPr>
        <w:spacing w:after="160"/>
      </w:pPr>
      <w:r>
        <w:rPr>
          <w:b/>
          <w:bCs/>
          <w:sz w:val="26"/>
          <w:szCs w:val="26"/>
          <w:rFonts w:ascii="Arial" w:cs="Arial" w:eastAsia="Arial" w:hAnsi="Arial"/>
        </w:rPr>
        <w:t xml:space="preserve">Why Homogeneity Matters for PBN</w:t>
      </w:r>
    </w:p>
    <w:p>
      <w:pPr>
        <w:spacing w:after="200"/>
      </w:pPr>
      <w:r>
        <w:rPr>
          <w:sz w:val="22"/>
          <w:szCs w:val="22"/>
          <w:rFonts w:ascii="Arial" w:cs="Arial" w:eastAsia="Arial" w:hAnsi="Arial"/>
        </w:rPr>
        <w:t xml:space="preserve">Academic research strongly supports that demographic similarity drives social trust:</w:t>
      </w:r>
    </w:p>
    <w:p>
      <w:pPr>
        <w:spacing w:after="120"/>
      </w:pPr>
      <w:r>
        <w:rPr>
          <w:i/>
          <w:iCs/>
          <w:sz w:val="22"/>
          <w:szCs w:val="22"/>
          <w:rFonts w:ascii="Arial" w:cs="Arial" w:eastAsia="Arial" w:hAnsi="Arial"/>
        </w:rPr>
        <w:t xml:space="preserve">Robert Putnam (2007), "E Pluribus Unum" — 29,000+ respondents across 41 US communities:</w:t>
      </w:r>
    </w:p>
    <w:p>
      <w:pPr>
        <w:pStyle w:val="ListParagraph"/>
        <w:numPr>
          <w:ilvl w:val="0"/>
          <w:numId w:val="2"/>
        </w:numPr>
        <w:spacing w:after="100"/>
      </w:pPr>
      <w:r>
        <w:rPr>
          <w:sz w:val="22"/>
          <w:szCs w:val="22"/>
          <w:rFonts w:ascii="Arial" w:cs="Arial" w:eastAsia="Arial" w:hAnsi="Arial"/>
        </w:rPr>
        <w:t xml:space="preserve">In homogeneous communities: 70-80% trust neighbors "a lot"</w:t>
      </w:r>
    </w:p>
    <w:p>
      <w:pPr>
        <w:pStyle w:val="ListParagraph"/>
        <w:numPr>
          <w:ilvl w:val="0"/>
          <w:numId w:val="2"/>
        </w:numPr>
        <w:spacing w:after="100"/>
      </w:pPr>
      <w:r>
        <w:rPr>
          <w:sz w:val="22"/>
          <w:szCs w:val="22"/>
          <w:rFonts w:ascii="Arial" w:cs="Arial" w:eastAsia="Arial" w:hAnsi="Arial"/>
        </w:rPr>
        <w:t xml:space="preserve">In diverse communities: ~30% report same trust level</w:t>
      </w:r>
    </w:p>
    <w:p>
      <w:pPr>
        <w:pStyle w:val="ListParagraph"/>
        <w:numPr>
          <w:ilvl w:val="0"/>
          <w:numId w:val="2"/>
        </w:numPr>
        <w:spacing w:after="200"/>
      </w:pPr>
      <w:r>
        <w:rPr>
          <w:sz w:val="22"/>
          <w:szCs w:val="22"/>
          <w:rFonts w:ascii="Arial" w:cs="Arial" w:eastAsia="Arial" w:hAnsi="Arial"/>
        </w:rPr>
        <w:t xml:space="preserve">Trust drops even toward one's own demographic group in diverse settings</w:t>
      </w:r>
    </w:p>
    <w:p>
      <w:pPr>
        <w:spacing w:after="160"/>
      </w:pPr>
      <w:r>
        <w:rPr>
          <w:b/>
          <w:bCs/>
          <w:sz w:val="26"/>
          <w:szCs w:val="26"/>
          <w:rFonts w:ascii="Arial" w:cs="Arial" w:eastAsia="Arial" w:hAnsi="Arial"/>
        </w:rPr>
        <w:t xml:space="preserve">DUMBO's Homogeneity Profile: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6"/>
              <w:left w:val="single" w:color="CCCCCC" w:sz="6"/>
              <w:bottom w:val="single" w:color="CCCCCC" w:sz="6"/>
              <w:right w:val="single" w:color="CCCCCC" w:sz="6"/>
            </w:tcBorders>
            <w:shd w:fill="1E3A5F" w:val="clear"/>
            <w:tcMar>
              <w:top w:type="dxa" w:w="80"/>
              <w:left w:type="dxa" w:w="120"/>
              <w:bottom w:type="dxa" w:w="80"/>
              <w:right w:type="dxa" w:w="120"/>
            </w:tcMar>
          </w:tcPr>
          <w:p>
            <w:r>
              <w:rPr>
                <w:b/>
                <w:bCs/>
                <w:color w:val="FFFFFF"/>
                <w:sz w:val="22"/>
                <w:szCs w:val="22"/>
                <w:rFonts w:ascii="Arial" w:cs="Arial" w:eastAsia="Arial" w:hAnsi="Arial"/>
              </w:rPr>
              <w:t xml:space="preserve">Metric</w:t>
            </w:r>
          </w:p>
        </w:tc>
        <w:tc>
          <w:tcPr>
            <w:tcW w:type="dxa" w:w="2340"/>
            <w:tcBorders>
              <w:top w:val="single" w:color="CCCCCC" w:sz="6"/>
              <w:left w:val="single" w:color="CCCCCC" w:sz="6"/>
              <w:bottom w:val="single" w:color="CCCCCC" w:sz="6"/>
              <w:right w:val="single" w:color="CCCCCC" w:sz="6"/>
            </w:tcBorders>
            <w:shd w:fill="1E3A5F" w:val="clear"/>
            <w:tcMar>
              <w:top w:type="dxa" w:w="80"/>
              <w:left w:type="dxa" w:w="120"/>
              <w:bottom w:type="dxa" w:w="80"/>
              <w:right w:type="dxa" w:w="120"/>
            </w:tcMar>
          </w:tcPr>
          <w:p>
            <w:r>
              <w:rPr>
                <w:b/>
                <w:bCs/>
                <w:color w:val="FFFFFF"/>
                <w:sz w:val="22"/>
                <w:szCs w:val="22"/>
                <w:rFonts w:ascii="Arial" w:cs="Arial" w:eastAsia="Arial" w:hAnsi="Arial"/>
              </w:rPr>
              <w:t xml:space="preserve">DUMBO</w:t>
            </w:r>
          </w:p>
        </w:tc>
        <w:tc>
          <w:tcPr>
            <w:tcW w:type="dxa" w:w="2340"/>
            <w:tcBorders>
              <w:top w:val="single" w:color="CCCCCC" w:sz="6"/>
              <w:left w:val="single" w:color="CCCCCC" w:sz="6"/>
              <w:bottom w:val="single" w:color="CCCCCC" w:sz="6"/>
              <w:right w:val="single" w:color="CCCCCC" w:sz="6"/>
            </w:tcBorders>
            <w:shd w:fill="1E3A5F" w:val="clear"/>
            <w:tcMar>
              <w:top w:type="dxa" w:w="80"/>
              <w:left w:type="dxa" w:w="120"/>
              <w:bottom w:type="dxa" w:w="80"/>
              <w:right w:type="dxa" w:w="120"/>
            </w:tcMar>
          </w:tcPr>
          <w:p>
            <w:r>
              <w:rPr>
                <w:b/>
                <w:bCs/>
                <w:color w:val="FFFFFF"/>
                <w:sz w:val="22"/>
                <w:szCs w:val="22"/>
                <w:rFonts w:ascii="Arial" w:cs="Arial" w:eastAsia="Arial" w:hAnsi="Arial"/>
              </w:rPr>
              <w:t xml:space="preserve">Brooklyn</w:t>
            </w:r>
          </w:p>
        </w:tc>
        <w:tc>
          <w:tcPr>
            <w:tcW w:type="dxa" w:w="2340"/>
            <w:tcBorders>
              <w:top w:val="single" w:color="CCCCCC" w:sz="6"/>
              <w:left w:val="single" w:color="CCCCCC" w:sz="6"/>
              <w:bottom w:val="single" w:color="CCCCCC" w:sz="6"/>
              <w:right w:val="single" w:color="CCCCCC" w:sz="6"/>
            </w:tcBorders>
            <w:shd w:fill="1E3A5F" w:val="clear"/>
            <w:tcMar>
              <w:top w:type="dxa" w:w="80"/>
              <w:left w:type="dxa" w:w="120"/>
              <w:bottom w:type="dxa" w:w="80"/>
              <w:right w:type="dxa" w:w="120"/>
            </w:tcMar>
          </w:tcPr>
          <w:p>
            <w:r>
              <w:rPr>
                <w:b/>
                <w:bCs/>
                <w:color w:val="FFFFFF"/>
                <w:sz w:val="22"/>
                <w:szCs w:val="22"/>
                <w:rFonts w:ascii="Arial" w:cs="Arial" w:eastAsia="Arial" w:hAnsi="Arial"/>
              </w:rPr>
              <w:t xml:space="preserve">Ratio</w:t>
            </w:r>
          </w:p>
        </w:tc>
      </w:tr>
      <w:tr>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Median Age</w:t>
            </w:r>
          </w:p>
        </w:tc>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35</w:t>
            </w:r>
          </w:p>
        </w:tc>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34</w:t>
            </w:r>
          </w:p>
        </w:tc>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1.0x</w:t>
            </w:r>
          </w:p>
        </w:tc>
      </w:tr>
      <w:tr>
        <w:tc>
          <w:tcPr>
            <w:tcW w:type="dxa" w:w="2340"/>
            <w:tcBorders>
              <w:top w:val="single" w:color="CCCCCC" w:sz="6"/>
              <w:left w:val="single" w:color="CCCCCC" w:sz="6"/>
              <w:bottom w:val="single" w:color="CCCCCC" w:sz="6"/>
              <w:right w:val="single" w:color="CCCCCC" w:sz="6"/>
            </w:tcBorders>
            <w:shd w:fill="FFFFFF" w:val="clear"/>
            <w:tcMar>
              <w:top w:type="dxa" w:w="80"/>
              <w:left w:type="dxa" w:w="120"/>
              <w:bottom w:type="dxa" w:w="80"/>
              <w:right w:type="dxa" w:w="120"/>
            </w:tcMar>
            <w:vAlign w:val="center"/>
          </w:tcPr>
          <w:p>
            <w:r>
              <w:rPr>
                <w:sz w:val="22"/>
                <w:szCs w:val="22"/>
                <w:rFonts w:ascii="Arial" w:cs="Arial" w:eastAsia="Arial" w:hAnsi="Arial"/>
              </w:rPr>
              <w:t xml:space="preserve">Bachelor's Degree+</w:t>
            </w:r>
          </w:p>
        </w:tc>
        <w:tc>
          <w:tcPr>
            <w:tcW w:type="dxa" w:w="2340"/>
            <w:tcBorders>
              <w:top w:val="single" w:color="CCCCCC" w:sz="6"/>
              <w:left w:val="single" w:color="CCCCCC" w:sz="6"/>
              <w:bottom w:val="single" w:color="CCCCCC" w:sz="6"/>
              <w:right w:val="single" w:color="CCCCCC" w:sz="6"/>
            </w:tcBorders>
            <w:shd w:fill="FFFFFF" w:val="clear"/>
            <w:tcMar>
              <w:top w:type="dxa" w:w="80"/>
              <w:left w:type="dxa" w:w="120"/>
              <w:bottom w:type="dxa" w:w="80"/>
              <w:right w:type="dxa" w:w="120"/>
            </w:tcMar>
            <w:vAlign w:val="center"/>
          </w:tcPr>
          <w:p>
            <w:r>
              <w:rPr>
                <w:sz w:val="22"/>
                <w:szCs w:val="22"/>
                <w:rFonts w:ascii="Arial" w:cs="Arial" w:eastAsia="Arial" w:hAnsi="Arial"/>
              </w:rPr>
              <w:t xml:space="preserve">79%</w:t>
            </w:r>
          </w:p>
        </w:tc>
        <w:tc>
          <w:tcPr>
            <w:tcW w:type="dxa" w:w="2340"/>
            <w:tcBorders>
              <w:top w:val="single" w:color="CCCCCC" w:sz="6"/>
              <w:left w:val="single" w:color="CCCCCC" w:sz="6"/>
              <w:bottom w:val="single" w:color="CCCCCC" w:sz="6"/>
              <w:right w:val="single" w:color="CCCCCC" w:sz="6"/>
            </w:tcBorders>
            <w:shd w:fill="FFFFFF" w:val="clear"/>
            <w:tcMar>
              <w:top w:type="dxa" w:w="80"/>
              <w:left w:type="dxa" w:w="120"/>
              <w:bottom w:type="dxa" w:w="80"/>
              <w:right w:type="dxa" w:w="120"/>
            </w:tcMar>
            <w:vAlign w:val="center"/>
          </w:tcPr>
          <w:p>
            <w:r>
              <w:rPr>
                <w:sz w:val="22"/>
                <w:szCs w:val="22"/>
                <w:rFonts w:ascii="Arial" w:cs="Arial" w:eastAsia="Arial" w:hAnsi="Arial"/>
              </w:rPr>
              <w:t xml:space="preserve">38%</w:t>
            </w:r>
          </w:p>
        </w:tc>
        <w:tc>
          <w:tcPr>
            <w:tcW w:type="dxa" w:w="2340"/>
            <w:tcBorders>
              <w:top w:val="single" w:color="CCCCCC" w:sz="6"/>
              <w:left w:val="single" w:color="CCCCCC" w:sz="6"/>
              <w:bottom w:val="single" w:color="CCCCCC" w:sz="6"/>
              <w:right w:val="single" w:color="CCCCCC" w:sz="6"/>
            </w:tcBorders>
            <w:shd w:fill="FFFFFF" w:val="clear"/>
            <w:tcMar>
              <w:top w:type="dxa" w:w="80"/>
              <w:left w:type="dxa" w:w="120"/>
              <w:bottom w:type="dxa" w:w="80"/>
              <w:right w:type="dxa" w:w="120"/>
            </w:tcMar>
            <w:vAlign w:val="center"/>
          </w:tcPr>
          <w:p>
            <w:r>
              <w:rPr>
                <w:sz w:val="22"/>
                <w:szCs w:val="22"/>
                <w:rFonts w:ascii="Arial" w:cs="Arial" w:eastAsia="Arial" w:hAnsi="Arial"/>
              </w:rPr>
              <w:t xml:space="preserve">2.1x</w:t>
            </w:r>
          </w:p>
        </w:tc>
      </w:tr>
      <w:tr>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Median Household Income</w:t>
            </w:r>
          </w:p>
        </w:tc>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$168K</w:t>
            </w:r>
          </w:p>
        </w:tc>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$71K</w:t>
            </w:r>
          </w:p>
        </w:tc>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2.4x</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D7A3F" w:sz="8"/>
              <w:left w:val="single" w:color="2D7A3F" w:sz="12"/>
              <w:bottom w:val="single" w:color="2D7A3F" w:sz="8"/>
              <w:right w:val="single" w:color="2D7A3F" w:sz="8"/>
            </w:tcBorders>
            <w:shd w:fill="F0F8F0" w:val="clear"/>
            <w:tcMar>
              <w:top w:type="dxa" w:w="100"/>
              <w:left w:type="dxa" w:w="120"/>
              <w:bottom w:type="dxa" w:w="100"/>
              <w:right w:type="dxa" w:w="120"/>
            </w:tcMar>
          </w:tcPr>
          <w:p>
            <w:pPr>
              <w:spacing w:after="120"/>
            </w:pPr>
            <w:r>
              <w:rPr>
                <w:b/>
                <w:bCs/>
                <w:color w:val="2D7A3F"/>
                <w:sz w:val="24"/>
                <w:szCs w:val="24"/>
                <w:rFonts w:ascii="Arial" w:cs="Arial" w:eastAsia="Arial" w:hAnsi="Arial"/>
              </w:rPr>
              <w:t xml:space="preserve">→ So What for PBN</w:t>
            </w:r>
          </w:p>
          <w:p>
            <w:r>
              <w:rPr>
                <w:color w:val="333333"/>
                <w:sz w:val="22"/>
                <w:szCs w:val="22"/>
                <w:rFonts w:ascii="Arial" w:cs="Arial" w:eastAsia="Arial" w:hAnsi="Arial"/>
              </w:rPr>
              <w:t xml:space="preserve">DUMBO residents share similar life stage, education, and income. Per Putnam's research, this predicts significantly higher baseline trust — the #1 prerequisite for neighbor-to-neighbor favor exchange.</w:t>
            </w:r>
          </w:p>
        </w:tc>
      </w:tr>
    </w:tbl>
    <w:p>
      <w:pPr>
        <w:spacing w:after="240"/>
      </w:pPr>
    </w:p>
    <w:p>
      <w:pPr>
        <w:spacing w:before="120" w:after="160"/>
      </w:pPr>
      <w:r>
        <w:rPr>
          <w:b/>
          <w:bCs/>
          <w:sz w:val="26"/>
          <w:szCs w:val="26"/>
          <w:rFonts w:ascii="Arial" w:cs="Arial" w:eastAsia="Arial" w:hAnsi="Arial"/>
        </w:rPr>
        <w:t xml:space="preserve">Collective Efficacy Research</w:t>
      </w:r>
    </w:p>
    <w:p>
      <w:pPr>
        <w:spacing w:after="120"/>
      </w:pPr>
      <w:r>
        <w:rPr>
          <w:i/>
          <w:iCs/>
          <w:sz w:val="22"/>
          <w:szCs w:val="22"/>
          <w:rFonts w:ascii="Arial" w:cs="Arial" w:eastAsia="Arial" w:hAnsi="Arial"/>
        </w:rPr>
        <w:t xml:space="preserve">Sampson et al. (1997), Science — 8,782 residents in 343 Chicago neighborhoods:</w:t>
      </w:r>
    </w:p>
    <w:p>
      <w:pPr>
        <w:pStyle w:val="ListParagraph"/>
        <w:numPr>
          <w:ilvl w:val="0"/>
          <w:numId w:val="2"/>
        </w:numPr>
        <w:spacing w:after="100"/>
      </w:pPr>
      <w:r>
        <w:rPr>
          <w:sz w:val="22"/>
          <w:szCs w:val="22"/>
          <w:rFonts w:ascii="Arial" w:cs="Arial" w:eastAsia="Arial" w:hAnsi="Arial"/>
        </w:rPr>
        <w:t xml:space="preserve">Defined "collective efficacy" as mutual trust + willingness to act for common good</w:t>
      </w:r>
    </w:p>
    <w:p>
      <w:pPr>
        <w:pStyle w:val="ListParagraph"/>
        <w:numPr>
          <w:ilvl w:val="0"/>
          <w:numId w:val="2"/>
        </w:numPr>
        <w:spacing w:after="100"/>
      </w:pPr>
      <w:r>
        <w:rPr>
          <w:sz w:val="22"/>
          <w:szCs w:val="22"/>
          <w:rFonts w:ascii="Arial" w:cs="Arial" w:eastAsia="Arial" w:hAnsi="Arial"/>
        </w:rPr>
        <w:t xml:space="preserve">High collective efficacy neighborhoods: 40% lower crime rates</w:t>
      </w:r>
    </w:p>
    <w:p>
      <w:pPr>
        <w:pStyle w:val="ListParagraph"/>
        <w:numPr>
          <w:ilvl w:val="0"/>
          <w:numId w:val="2"/>
        </w:numPr>
        <w:spacing w:after="200"/>
      </w:pPr>
      <w:r>
        <w:rPr>
          <w:sz w:val="22"/>
          <w:szCs w:val="22"/>
          <w:rFonts w:ascii="Arial" w:cs="Arial" w:eastAsia="Arial" w:hAnsi="Arial"/>
        </w:rPr>
        <w:t xml:space="preserve">Key drivers: residential stability + demographic similarity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D7A3F" w:sz="8"/>
              <w:left w:val="single" w:color="2D7A3F" w:sz="12"/>
              <w:bottom w:val="single" w:color="2D7A3F" w:sz="8"/>
              <w:right w:val="single" w:color="2D7A3F" w:sz="8"/>
            </w:tcBorders>
            <w:shd w:fill="F0F8F0" w:val="clear"/>
            <w:tcMar>
              <w:top w:type="dxa" w:w="100"/>
              <w:left w:type="dxa" w:w="120"/>
              <w:bottom w:type="dxa" w:w="100"/>
              <w:right w:type="dxa" w:w="120"/>
            </w:tcMar>
          </w:tcPr>
          <w:p>
            <w:pPr>
              <w:spacing w:after="120"/>
            </w:pPr>
            <w:r>
              <w:rPr>
                <w:b/>
                <w:bCs/>
                <w:color w:val="2D7A3F"/>
                <w:sz w:val="24"/>
                <w:szCs w:val="24"/>
                <w:rFonts w:ascii="Arial" w:cs="Arial" w:eastAsia="Arial" w:hAnsi="Arial"/>
              </w:rPr>
              <w:t xml:space="preserve">→ So What for PBN</w:t>
            </w:r>
          </w:p>
          <w:p>
            <w:r>
              <w:rPr>
                <w:color w:val="333333"/>
                <w:sz w:val="22"/>
                <w:szCs w:val="22"/>
                <w:rFonts w:ascii="Arial" w:cs="Arial" w:eastAsia="Arial" w:hAnsi="Arial"/>
              </w:rPr>
              <w:t xml:space="preserve">DUMBO's profile predicts high collective efficacy — exactly the social infrastructure PBN needs.</w:t>
            </w:r>
          </w:p>
        </w:tc>
      </w:tr>
    </w:tbl>
    <w:p>
      <w:r>
        <w:br w:type="page"/>
      </w:r>
    </w:p>
    <w:p>
      <w:pPr>
        <w:pStyle w:val="Heading1"/>
        <w:spacing w:before="100" w:after="200"/>
      </w:pPr>
      <w:r>
        <w:rPr>
          <w:b/>
          <w:bCs/>
          <w:color w:val="1E3A5F"/>
          <w:sz w:val="32"/>
          <w:szCs w:val="32"/>
          <w:rFonts w:ascii="Arial" w:cs="Arial" w:eastAsia="Arial" w:hAnsi="Arial"/>
        </w:rPr>
        <w:t xml:space="preserve">3. Family &amp; Dual-Income Dynamics</w:t>
      </w:r>
    </w:p>
    <w:p>
      <w:pPr>
        <w:spacing w:after="160"/>
      </w:pPr>
      <w:r>
        <w:rPr>
          <w:b/>
          <w:bCs/>
          <w:sz w:val="26"/>
          <w:szCs w:val="26"/>
          <w:rFonts w:ascii="Arial" w:cs="Arial" w:eastAsia="Arial" w:hAnsi="Arial"/>
        </w:rPr>
        <w:t xml:space="preserve">DUMBO is Brooklyn's Most Family-Dense Neighborhood:</w:t>
      </w:r>
    </w:p>
    <w:p>
      <w:pPr>
        <w:pStyle w:val="ListParagraph"/>
        <w:numPr>
          <w:ilvl w:val="0"/>
          <w:numId w:val="2"/>
        </w:numPr>
        <w:spacing w:after="100"/>
      </w:pPr>
      <w:r>
        <w:rPr>
          <w:sz w:val="22"/>
          <w:szCs w:val="22"/>
          <w:rFonts w:ascii="Arial" w:cs="Arial" w:eastAsia="Arial" w:hAnsi="Arial"/>
        </w:rPr>
        <w:t xml:space="preserve">55% family households (highest in Brooklyn)</w:t>
      </w:r>
    </w:p>
    <w:p>
      <w:pPr>
        <w:pStyle w:val="ListParagraph"/>
        <w:numPr>
          <w:ilvl w:val="0"/>
          <w:numId w:val="2"/>
        </w:numPr>
        <w:spacing w:after="200"/>
      </w:pPr>
      <w:r>
        <w:rPr>
          <w:sz w:val="22"/>
          <w:szCs w:val="22"/>
          <w:rFonts w:ascii="Arial" w:cs="Arial" w:eastAsia="Arial" w:hAnsi="Arial"/>
        </w:rPr>
        <w:t xml:space="preserve">14.7% children under 15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D7A3F" w:sz="8"/>
              <w:left w:val="single" w:color="2D7A3F" w:sz="12"/>
              <w:bottom w:val="single" w:color="2D7A3F" w:sz="8"/>
              <w:right w:val="single" w:color="2D7A3F" w:sz="8"/>
            </w:tcBorders>
            <w:shd w:fill="F0F8F0" w:val="clear"/>
            <w:tcMar>
              <w:top w:type="dxa" w:w="100"/>
              <w:left w:type="dxa" w:w="120"/>
              <w:bottom w:type="dxa" w:w="100"/>
              <w:right w:type="dxa" w:w="120"/>
            </w:tcMar>
          </w:tcPr>
          <w:p>
            <w:pPr>
              <w:spacing w:after="120"/>
            </w:pPr>
            <w:r>
              <w:rPr>
                <w:b/>
                <w:bCs/>
                <w:color w:val="2D7A3F"/>
                <w:sz w:val="24"/>
                <w:szCs w:val="24"/>
                <w:rFonts w:ascii="Arial" w:cs="Arial" w:eastAsia="Arial" w:hAnsi="Arial"/>
              </w:rPr>
              <w:t xml:space="preserve">→ So What for PBN</w:t>
            </w:r>
          </w:p>
          <w:p>
            <w:r>
              <w:rPr>
                <w:color w:val="333333"/>
                <w:sz w:val="22"/>
                <w:szCs w:val="22"/>
                <w:rFonts w:ascii="Arial" w:cs="Arial" w:eastAsia="Arial" w:hAnsi="Arial"/>
              </w:rPr>
              <w:t xml:space="preserve">Families with young children are PBN's primary use case. Pet sitting, school pickup, watching kids for 1-2 hours — these are daily needs for DUMBO parents.</w:t>
            </w:r>
          </w:p>
        </w:tc>
      </w:tr>
    </w:tbl>
    <w:p>
      <w:pPr>
        <w:spacing w:after="240"/>
      </w:pPr>
    </w:p>
    <w:p>
      <w:pPr>
        <w:spacing w:before="120" w:after="160"/>
      </w:pPr>
      <w:r>
        <w:rPr>
          <w:b/>
          <w:bCs/>
          <w:sz w:val="26"/>
          <w:szCs w:val="26"/>
          <w:rFonts w:ascii="Arial" w:cs="Arial" w:eastAsia="Arial" w:hAnsi="Arial"/>
        </w:rPr>
        <w:t xml:space="preserve">Dual-Income Pressure:</w:t>
      </w:r>
    </w:p>
    <w:p>
      <w:pPr>
        <w:pStyle w:val="ListParagraph"/>
        <w:numPr>
          <w:ilvl w:val="0"/>
          <w:numId w:val="2"/>
        </w:numPr>
        <w:spacing w:after="100"/>
      </w:pPr>
      <w:r>
        <w:rPr>
          <w:sz w:val="22"/>
          <w:szCs w:val="22"/>
          <w:rFonts w:ascii="Arial" w:cs="Arial" w:eastAsia="Arial" w:hAnsi="Arial"/>
        </w:rPr>
        <w:t xml:space="preserve">Nationally: 49.6% of married couples are dual-earner (BLS, 2024)</w:t>
      </w:r>
    </w:p>
    <w:p>
      <w:pPr>
        <w:pStyle w:val="ListParagraph"/>
        <w:numPr>
          <w:ilvl w:val="0"/>
          <w:numId w:val="2"/>
        </w:numPr>
        <w:spacing w:after="200"/>
      </w:pPr>
      <w:r>
        <w:rPr>
          <w:sz w:val="22"/>
          <w:szCs w:val="22"/>
          <w:rFonts w:ascii="Arial" w:cs="Arial" w:eastAsia="Arial" w:hAnsi="Arial"/>
        </w:rPr>
        <w:t xml:space="preserve">DUMBO's high income ($168K median) strongly suggests dual-income households — this income level is nearly impossible on a single NYC salary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D7A3F" w:sz="8"/>
              <w:left w:val="single" w:color="2D7A3F" w:sz="12"/>
              <w:bottom w:val="single" w:color="2D7A3F" w:sz="8"/>
              <w:right w:val="single" w:color="2D7A3F" w:sz="8"/>
            </w:tcBorders>
            <w:shd w:fill="F0F8F0" w:val="clear"/>
            <w:tcMar>
              <w:top w:type="dxa" w:w="100"/>
              <w:left w:type="dxa" w:w="120"/>
              <w:bottom w:type="dxa" w:w="100"/>
              <w:right w:type="dxa" w:w="120"/>
            </w:tcMar>
          </w:tcPr>
          <w:p>
            <w:pPr>
              <w:spacing w:after="120"/>
            </w:pPr>
            <w:r>
              <w:rPr>
                <w:b/>
                <w:bCs/>
                <w:color w:val="2D7A3F"/>
                <w:sz w:val="24"/>
                <w:szCs w:val="24"/>
                <w:rFonts w:ascii="Arial" w:cs="Arial" w:eastAsia="Arial" w:hAnsi="Arial"/>
              </w:rPr>
              <w:t xml:space="preserve">→ So What for PBN</w:t>
            </w:r>
          </w:p>
          <w:p>
            <w:r>
              <w:rPr>
                <w:color w:val="333333"/>
                <w:sz w:val="22"/>
                <w:szCs w:val="22"/>
                <w:rFonts w:ascii="Arial" w:cs="Arial" w:eastAsia="Arial" w:hAnsi="Arial"/>
              </w:rPr>
              <w:t xml:space="preserve">Dual-income families are time-poor and need flexible neighbor help. They can't always be home for deliveries, pickups, or pet care. PBN solves this.</w:t>
            </w:r>
          </w:p>
        </w:tc>
      </w:tr>
    </w:tbl>
    <w:p>
      <w:pPr>
        <w:spacing w:after="240"/>
      </w:pPr>
    </w:p>
    <w:p>
      <w:pPr>
        <w:spacing w:before="120" w:after="240"/>
      </w:pPr>
      <w:r>
        <w:rPr>
          <w:b/>
          <w:bCs/>
          <w:color w:val="CC6600"/>
          <w:sz w:val="20"/>
          <w:szCs w:val="20"/>
          <w:rFonts w:ascii="Arial" w:cs="Arial" w:eastAsia="Arial" w:hAnsi="Arial"/>
        </w:rPr>
        <w:t xml:space="preserve">DATA GAP: DUMBO-specific dual-income % not available via Census. Recommend primary research during interviews to validate.</w:t>
      </w:r>
    </w:p>
    <w:p>
      <w:pPr>
        <w:pStyle w:val="Heading1"/>
        <w:spacing w:before="100" w:after="200"/>
      </w:pPr>
      <w:r>
        <w:rPr>
          <w:b/>
          <w:bCs/>
          <w:color w:val="1E3A5F"/>
          <w:sz w:val="32"/>
          <w:szCs w:val="32"/>
          <w:rFonts w:ascii="Arial" w:cs="Arial" w:eastAsia="Arial" w:hAnsi="Arial"/>
        </w:rPr>
        <w:t xml:space="preserve">4. Residential Stability — The Key Factor</w:t>
      </w:r>
    </w:p>
    <w:p>
      <w:pPr>
        <w:spacing w:after="160"/>
      </w:pPr>
      <w:r>
        <w:rPr>
          <w:b/>
          <w:bCs/>
          <w:sz w:val="26"/>
          <w:szCs w:val="26"/>
          <w:rFonts w:ascii="Arial" w:cs="Arial" w:eastAsia="Arial" w:hAnsi="Arial"/>
        </w:rPr>
        <w:t xml:space="preserve">Why This Matters More Than Ownership</w:t>
      </w:r>
    </w:p>
    <w:p>
      <w:pPr>
        <w:spacing w:after="120"/>
      </w:pPr>
      <w:r>
        <w:rPr>
          <w:sz w:val="22"/>
          <w:szCs w:val="22"/>
          <w:rFonts w:ascii="Arial" w:cs="Arial" w:eastAsia="Arial" w:hAnsi="Arial"/>
        </w:rPr>
        <w:t xml:space="preserve">Research shows residential stability predicts community engagement better than homeowner vs. renter status:</w:t>
      </w:r>
    </w:p>
    <w:p>
      <w:pPr>
        <w:pStyle w:val="ListParagraph"/>
        <w:numPr>
          <w:ilvl w:val="0"/>
          <w:numId w:val="2"/>
        </w:numPr>
        <w:spacing w:after="100"/>
      </w:pPr>
      <w:r>
        <w:rPr>
          <w:sz w:val="22"/>
          <w:szCs w:val="22"/>
          <w:rFonts w:ascii="Arial" w:cs="Arial" w:eastAsia="Arial" w:hAnsi="Arial"/>
        </w:rPr>
        <w:t xml:space="preserve">Community-wide residential stability has larger effect than individual homeownership</w:t>
      </w:r>
    </w:p>
    <w:p>
      <w:pPr>
        <w:pStyle w:val="ListParagraph"/>
        <w:numPr>
          <w:ilvl w:val="0"/>
          <w:numId w:val="2"/>
        </w:numPr>
        <w:spacing w:after="200"/>
      </w:pPr>
      <w:r>
        <w:rPr>
          <w:sz w:val="22"/>
          <w:szCs w:val="22"/>
          <w:rFonts w:ascii="Arial" w:cs="Arial" w:eastAsia="Arial" w:hAnsi="Arial"/>
        </w:rPr>
        <w:t xml:space="preserve">Long-term renters are more engaged than short-term homeowners</w:t>
      </w:r>
    </w:p>
    <w:p>
      <w:pPr>
        <w:spacing w:before="120" w:after="160"/>
      </w:pPr>
      <w:r>
        <w:rPr>
          <w:b/>
          <w:bCs/>
          <w:sz w:val="26"/>
          <w:szCs w:val="26"/>
          <w:rFonts w:ascii="Arial" w:cs="Arial" w:eastAsia="Arial" w:hAnsi="Arial"/>
        </w:rPr>
        <w:t xml:space="preserve">DUMBO's Residential Stability:</w:t>
      </w:r>
    </w:p>
    <w:p>
      <w:pPr>
        <w:pStyle w:val="ListParagraph"/>
        <w:numPr>
          <w:ilvl w:val="0"/>
          <w:numId w:val="2"/>
        </w:numPr>
        <w:spacing w:after="100"/>
      </w:pPr>
      <w:r>
        <w:rPr>
          <w:sz w:val="22"/>
          <w:szCs w:val="22"/>
          <w:rFonts w:ascii="Arial" w:cs="Arial" w:eastAsia="Arial" w:hAnsi="Arial"/>
        </w:rPr>
        <w:t xml:space="preserve">64% renters / 36% owners</w:t>
      </w:r>
    </w:p>
    <w:p>
      <w:pPr>
        <w:pStyle w:val="ListParagraph"/>
        <w:numPr>
          <w:ilvl w:val="0"/>
          <w:numId w:val="2"/>
        </w:numPr>
        <w:spacing w:after="100"/>
      </w:pPr>
      <w:r>
        <w:rPr>
          <w:sz w:val="22"/>
          <w:szCs w:val="22"/>
          <w:rFonts w:ascii="Arial" w:cs="Arial" w:eastAsia="Arial" w:hAnsi="Arial"/>
        </w:rPr>
        <w:t xml:space="preserve">Average lease duration: 24 months</w:t>
      </w:r>
    </w:p>
    <w:p>
      <w:pPr>
        <w:pStyle w:val="ListParagraph"/>
        <w:numPr>
          <w:ilvl w:val="0"/>
          <w:numId w:val="2"/>
        </w:numPr>
        <w:spacing w:after="200"/>
      </w:pPr>
      <w:r>
        <w:rPr>
          <w:sz w:val="22"/>
          <w:szCs w:val="22"/>
          <w:rFonts w:ascii="Arial" w:cs="Arial" w:eastAsia="Arial" w:hAnsi="Arial"/>
        </w:rPr>
        <w:t xml:space="preserve">Lease renewal rate: 82% — only 18% annual turnover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D7A3F" w:sz="8"/>
              <w:left w:val="single" w:color="2D7A3F" w:sz="12"/>
              <w:bottom w:val="single" w:color="2D7A3F" w:sz="8"/>
              <w:right w:val="single" w:color="2D7A3F" w:sz="8"/>
            </w:tcBorders>
            <w:shd w:fill="F0F8F0" w:val="clear"/>
            <w:tcMar>
              <w:top w:type="dxa" w:w="100"/>
              <w:left w:type="dxa" w:w="120"/>
              <w:bottom w:type="dxa" w:w="100"/>
              <w:right w:type="dxa" w:w="120"/>
            </w:tcMar>
          </w:tcPr>
          <w:p>
            <w:pPr>
              <w:spacing w:after="120"/>
            </w:pPr>
            <w:r>
              <w:rPr>
                <w:b/>
                <w:bCs/>
                <w:color w:val="2D7A3F"/>
                <w:sz w:val="24"/>
                <w:szCs w:val="24"/>
                <w:rFonts w:ascii="Arial" w:cs="Arial" w:eastAsia="Arial" w:hAnsi="Arial"/>
              </w:rPr>
              <w:t xml:space="preserve">→ So What for PBN</w:t>
            </w:r>
          </w:p>
          <w:p>
            <w:r>
              <w:rPr>
                <w:color w:val="333333"/>
                <w:sz w:val="22"/>
                <w:szCs w:val="22"/>
                <w:rFonts w:ascii="Arial" w:cs="Arial" w:eastAsia="Arial" w:hAnsi="Arial"/>
              </w:rPr>
              <w:t xml:space="preserve">DUMBO renters stay. 82% renewal rate means this is NOT a transient community. These are committed residents who have chosen DUMBO and keep choosing it. This stability enables the trust-building that PBN requires.</w:t>
            </w:r>
          </w:p>
        </w:tc>
      </w:tr>
    </w:tbl>
    <w:p>
      <w:pPr>
        <w:spacing w:after="240"/>
      </w:pPr>
    </w:p>
    <w:p>
      <w:pPr>
        <w:spacing w:after="240"/>
      </w:pPr>
      <w:r>
        <w:rPr>
          <w:i/>
          <w:iCs/>
          <w:sz w:val="22"/>
          <w:szCs w:val="22"/>
          <w:rFonts w:ascii="Arial" w:cs="Arial" w:eastAsia="Arial" w:hAnsi="Arial"/>
        </w:rPr>
        <w:t xml:space="preserve">Brooklyn vacancy rate: 2.0% (Oct 2025, lowest since 2018) — people don't leave because they can't easily come back.</w:t>
      </w:r>
    </w:p>
    <w:p>
      <w:pPr>
        <w:pStyle w:val="Heading1"/>
        <w:spacing w:before="100" w:after="200"/>
      </w:pPr>
      <w:r>
        <w:rPr>
          <w:b/>
          <w:bCs/>
          <w:color w:val="1E3A5F"/>
          <w:sz w:val="32"/>
          <w:szCs w:val="32"/>
          <w:rFonts w:ascii="Arial" w:cs="Arial" w:eastAsia="Arial" w:hAnsi="Arial"/>
        </w:rPr>
        <w:t xml:space="preserve">5. Dog Ownership &amp; Community Touchpoints</w:t>
      </w:r>
    </w:p>
    <w:p>
      <w:pPr>
        <w:spacing w:after="160"/>
      </w:pPr>
      <w:r>
        <w:rPr>
          <w:b/>
          <w:bCs/>
          <w:sz w:val="26"/>
          <w:szCs w:val="26"/>
          <w:rFonts w:ascii="Arial" w:cs="Arial" w:eastAsia="Arial" w:hAnsi="Arial"/>
        </w:rPr>
        <w:t xml:space="preserve">DUMBO = Brooklyn's #1 Dog-Friendly Neighborhood (StreetEasy/Rover 2017):</w:t>
      </w:r>
    </w:p>
    <w:p>
      <w:pPr>
        <w:pStyle w:val="ListParagraph"/>
        <w:numPr>
          <w:ilvl w:val="0"/>
          <w:numId w:val="2"/>
        </w:numPr>
        <w:spacing w:after="100"/>
      </w:pPr>
      <w:r>
        <w:rPr>
          <w:sz w:val="22"/>
          <w:szCs w:val="22"/>
          <w:rFonts w:ascii="Arial" w:cs="Arial" w:eastAsia="Arial" w:hAnsi="Arial"/>
        </w:rPr>
        <w:t xml:space="preserve">96.2% of rentals allow pets</w:t>
      </w:r>
    </w:p>
    <w:p>
      <w:pPr>
        <w:pStyle w:val="ListParagraph"/>
        <w:numPr>
          <w:ilvl w:val="0"/>
          <w:numId w:val="2"/>
        </w:numPr>
        <w:spacing w:after="100"/>
      </w:pPr>
      <w:r>
        <w:rPr>
          <w:sz w:val="22"/>
          <w:szCs w:val="22"/>
          <w:rFonts w:ascii="Arial" w:cs="Arial" w:eastAsia="Arial" w:hAnsi="Arial"/>
        </w:rPr>
        <w:t xml:space="preserve">ZIP 11201 ranks #24 in NYC for dogs per capita</w:t>
      </w:r>
    </w:p>
    <w:p>
      <w:pPr>
        <w:pStyle w:val="ListParagraph"/>
        <w:numPr>
          <w:ilvl w:val="0"/>
          <w:numId w:val="2"/>
        </w:numPr>
        <w:spacing w:after="100"/>
      </w:pPr>
      <w:r>
        <w:rPr>
          <w:sz w:val="22"/>
          <w:szCs w:val="22"/>
          <w:rFonts w:ascii="Arial" w:cs="Arial" w:eastAsia="Arial" w:hAnsi="Arial"/>
        </w:rPr>
        <w:t xml:space="preserve">7 dog parks/off-leash areas in ~0.1 sq mi</w:t>
      </w:r>
    </w:p>
    <w:p>
      <w:pPr>
        <w:pStyle w:val="ListParagraph"/>
        <w:numPr>
          <w:ilvl w:val="0"/>
          <w:numId w:val="2"/>
        </w:numPr>
        <w:spacing w:after="200"/>
      </w:pPr>
      <w:r>
        <w:rPr>
          <w:sz w:val="22"/>
          <w:szCs w:val="22"/>
          <w:rFonts w:ascii="Arial" w:cs="Arial" w:eastAsia="Arial" w:hAnsi="Arial"/>
        </w:rPr>
        <w:t xml:space="preserve">Brooklyn Bridge Park: 85 acres with multiple dog runs</w:t>
      </w:r>
    </w:p>
    <w:p>
      <w:pPr>
        <w:spacing w:after="160"/>
      </w:pPr>
      <w:r>
        <w:rPr>
          <w:b/>
          <w:bCs/>
          <w:sz w:val="24"/>
          <w:szCs w:val="24"/>
          <w:rFonts w:ascii="Arial" w:cs="Arial" w:eastAsia="Arial" w:hAnsi="Arial"/>
        </w:rPr>
        <w:t xml:space="preserve">Dog-Friendly Ranking Criteria (StreetEasy methodology):</w:t>
      </w:r>
    </w:p>
    <w:p>
      <w:pPr>
        <w:pStyle w:val="ListParagraph"/>
        <w:numPr>
          <w:ilvl w:val="0"/>
          <w:numId w:val="3"/>
        </w:numPr>
        <w:spacing w:after="100"/>
      </w:pPr>
      <w:r>
        <w:rPr>
          <w:sz w:val="22"/>
          <w:szCs w:val="22"/>
          <w:rFonts w:ascii="Arial" w:cs="Arial" w:eastAsia="Arial" w:hAnsi="Arial"/>
        </w:rPr>
        <w:t xml:space="preserve">Share of pet-friendly rental units</w:t>
      </w:r>
    </w:p>
    <w:p>
      <w:pPr>
        <w:pStyle w:val="ListParagraph"/>
        <w:numPr>
          <w:ilvl w:val="0"/>
          <w:numId w:val="3"/>
        </w:numPr>
        <w:spacing w:after="100"/>
      </w:pPr>
      <w:r>
        <w:rPr>
          <w:sz w:val="22"/>
          <w:szCs w:val="22"/>
          <w:rFonts w:ascii="Arial" w:cs="Arial" w:eastAsia="Arial" w:hAnsi="Arial"/>
        </w:rPr>
        <w:t xml:space="preserve">Dog sitters per capita</w:t>
      </w:r>
    </w:p>
    <w:p>
      <w:pPr>
        <w:pStyle w:val="ListParagraph"/>
        <w:numPr>
          <w:ilvl w:val="0"/>
          <w:numId w:val="3"/>
        </w:numPr>
        <w:spacing w:after="100"/>
      </w:pPr>
      <w:r>
        <w:rPr>
          <w:sz w:val="22"/>
          <w:szCs w:val="22"/>
          <w:rFonts w:ascii="Arial" w:cs="Arial" w:eastAsia="Arial" w:hAnsi="Arial"/>
        </w:rPr>
        <w:t xml:space="preserve">Dog parks/runs per capita</w:t>
      </w:r>
    </w:p>
    <w:p>
      <w:pPr>
        <w:pStyle w:val="ListParagraph"/>
        <w:numPr>
          <w:ilvl w:val="0"/>
          <w:numId w:val="3"/>
        </w:numPr>
        <w:spacing w:after="200"/>
      </w:pPr>
      <w:r>
        <w:rPr>
          <w:sz w:val="22"/>
          <w:szCs w:val="22"/>
          <w:rFonts w:ascii="Arial" w:cs="Arial" w:eastAsia="Arial" w:hAnsi="Arial"/>
        </w:rPr>
        <w:t xml:space="preserve">Veterinarians per capita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D7A3F" w:sz="8"/>
              <w:left w:val="single" w:color="2D7A3F" w:sz="12"/>
              <w:bottom w:val="single" w:color="2D7A3F" w:sz="8"/>
              <w:right w:val="single" w:color="2D7A3F" w:sz="8"/>
            </w:tcBorders>
            <w:shd w:fill="F0F8F0" w:val="clear"/>
            <w:tcMar>
              <w:top w:type="dxa" w:w="100"/>
              <w:left w:type="dxa" w:w="120"/>
              <w:bottom w:type="dxa" w:w="100"/>
              <w:right w:type="dxa" w:w="120"/>
            </w:tcMar>
          </w:tcPr>
          <w:p>
            <w:pPr>
              <w:spacing w:after="120"/>
            </w:pPr>
            <w:r>
              <w:rPr>
                <w:b/>
                <w:bCs/>
                <w:color w:val="2D7A3F"/>
                <w:sz w:val="24"/>
                <w:szCs w:val="24"/>
                <w:rFonts w:ascii="Arial" w:cs="Arial" w:eastAsia="Arial" w:hAnsi="Arial"/>
              </w:rPr>
              <w:t xml:space="preserve">→ So What for PBN</w:t>
            </w:r>
          </w:p>
          <w:p>
            <w:r>
              <w:rPr>
                <w:color w:val="333333"/>
                <w:sz w:val="22"/>
                <w:szCs w:val="22"/>
                <w:rFonts w:ascii="Arial" w:cs="Arial" w:eastAsia="Arial" w:hAnsi="Arial"/>
              </w:rPr>
              <w:t xml:space="preserve">Dog owners are PBN's easiest entry point. "Can someone walk my dog?" and "Pet sitting for the weekend" are low-stakes favors that build trust for bigger asks later. The density of dog owners in DUMBO means a large initial user base with immediate needs.</w:t>
            </w:r>
          </w:p>
        </w:tc>
      </w:tr>
    </w:tbl>
    <w:p>
      <w:pPr>
        <w:spacing w:after="240"/>
      </w:pPr>
    </w:p>
    <w:p>
      <w:pPr>
        <w:pStyle w:val="Heading1"/>
        <w:spacing w:before="100" w:after="200"/>
      </w:pPr>
      <w:r>
        <w:rPr>
          <w:b/>
          <w:bCs/>
          <w:color w:val="1E3A5F"/>
          <w:sz w:val="32"/>
          <w:szCs w:val="32"/>
          <w:rFonts w:ascii="Arial" w:cs="Arial" w:eastAsia="Arial" w:hAnsi="Arial"/>
        </w:rPr>
        <w:t xml:space="preserve">6. Co-ops as Expansion Target</w:t>
      </w:r>
    </w:p>
    <w:p>
      <w:pPr>
        <w:spacing w:after="120"/>
      </w:pPr>
      <w:r>
        <w:rPr>
          <w:sz w:val="22"/>
          <w:szCs w:val="22"/>
          <w:rFonts w:ascii="Arial" w:cs="Arial" w:eastAsia="Arial" w:hAnsi="Arial"/>
        </w:rPr>
        <w:t xml:space="preserve">While DUMBO is primarily condos + rentals, Brooklyn has a strong co-op tradition.</w:t>
      </w:r>
    </w:p>
    <w:p>
      <w:pPr>
        <w:pStyle w:val="ListParagraph"/>
        <w:numPr>
          <w:ilvl w:val="0"/>
          <w:numId w:val="2"/>
        </w:numPr>
        <w:spacing w:after="100"/>
      </w:pPr>
      <w:r>
        <w:rPr>
          <w:sz w:val="22"/>
          <w:szCs w:val="22"/>
          <w:rFonts w:ascii="Arial" w:cs="Arial" w:eastAsia="Arial" w:hAnsi="Arial"/>
        </w:rPr>
        <w:t xml:space="preserve">Co-ops have built-in governance (board) and existing community infrastructure</w:t>
      </w:r>
    </w:p>
    <w:p>
      <w:pPr>
        <w:pStyle w:val="ListParagraph"/>
        <w:numPr>
          <w:ilvl w:val="0"/>
          <w:numId w:val="2"/>
        </w:numPr>
        <w:spacing w:after="200"/>
      </w:pPr>
      <w:r>
        <w:rPr>
          <w:sz w:val="22"/>
          <w:szCs w:val="22"/>
          <w:rFonts w:ascii="Arial" w:cs="Arial" w:eastAsia="Arial" w:hAnsi="Arial"/>
        </w:rPr>
        <w:t xml:space="preserve">Residents already know each other through building meetings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D7A3F" w:sz="8"/>
              <w:left w:val="single" w:color="2D7A3F" w:sz="12"/>
              <w:bottom w:val="single" w:color="2D7A3F" w:sz="8"/>
              <w:right w:val="single" w:color="2D7A3F" w:sz="8"/>
            </w:tcBorders>
            <w:shd w:fill="F0F8F0" w:val="clear"/>
            <w:tcMar>
              <w:top w:type="dxa" w:w="100"/>
              <w:left w:type="dxa" w:w="120"/>
              <w:bottom w:type="dxa" w:w="100"/>
              <w:right w:type="dxa" w:w="120"/>
            </w:tcMar>
          </w:tcPr>
          <w:p>
            <w:pPr>
              <w:spacing w:after="120"/>
            </w:pPr>
            <w:r>
              <w:rPr>
                <w:b/>
                <w:bCs/>
                <w:color w:val="2D7A3F"/>
                <w:sz w:val="24"/>
                <w:szCs w:val="24"/>
                <w:rFonts w:ascii="Arial" w:cs="Arial" w:eastAsia="Arial" w:hAnsi="Arial"/>
              </w:rPr>
              <w:t xml:space="preserve">→ So What for PBN</w:t>
            </w:r>
          </w:p>
          <w:p>
            <w:r>
              <w:rPr>
                <w:color w:val="333333"/>
                <w:sz w:val="22"/>
                <w:szCs w:val="22"/>
                <w:rFonts w:ascii="Arial" w:cs="Arial" w:eastAsia="Arial" w:hAnsi="Arial"/>
              </w:rPr>
              <w:t xml:space="preserve">After validating in DUMBO, co-op buildings are natural expansion targets. The board structure can serve as an onboarding channel — board endorsement = trust signal.</w:t>
            </w:r>
          </w:p>
        </w:tc>
      </w:tr>
    </w:tbl>
    <w:p>
      <w:r>
        <w:br w:type="page"/>
      </w:r>
    </w:p>
    <w:p>
      <w:pPr>
        <w:pStyle w:val="Heading1"/>
        <w:spacing w:before="100" w:after="200"/>
      </w:pPr>
      <w:r>
        <w:rPr>
          <w:b/>
          <w:bCs/>
          <w:color w:val="1E3A5F"/>
          <w:sz w:val="32"/>
          <w:szCs w:val="32"/>
          <w:rFonts w:ascii="Arial" w:cs="Arial" w:eastAsia="Arial" w:hAnsi="Arial"/>
        </w:rPr>
        <w:t xml:space="preserve">7. Community Engagement Drivers</w:t>
      </w:r>
    </w:p>
    <w:p>
      <w:pPr>
        <w:spacing w:after="200"/>
      </w:pPr>
      <w:r>
        <w:rPr>
          <w:sz w:val="22"/>
          <w:szCs w:val="22"/>
          <w:rFonts w:ascii="Arial" w:cs="Arial" w:eastAsia="Arial" w:hAnsi="Arial"/>
        </w:rPr>
        <w:t xml:space="preserve">What academic research says makes communities engage in mutual aid:</w:t>
      </w:r>
    </w:p>
    <w:p>
      <w:pPr>
        <w:spacing w:after="120"/>
      </w:pPr>
      <w:r>
        <w:rPr>
          <w:i/>
          <w:iCs/>
          <w:sz w:val="22"/>
          <w:szCs w:val="22"/>
          <w:rFonts w:ascii="Arial" w:cs="Arial" w:eastAsia="Arial" w:hAnsi="Arial"/>
        </w:rPr>
        <w:t xml:space="preserve">Bender et al. (2024), American Journal of Community Psychology:</w:t>
      </w:r>
    </w:p>
    <w:p>
      <w:pPr>
        <w:pStyle w:val="ListParagraph"/>
        <w:numPr>
          <w:ilvl w:val="0"/>
          <w:numId w:val="2"/>
        </w:numPr>
        <w:spacing w:after="100"/>
      </w:pPr>
      <w:r>
        <w:rPr>
          <w:sz w:val="22"/>
          <w:szCs w:val="22"/>
          <w:rFonts w:ascii="Arial" w:cs="Arial" w:eastAsia="Arial" w:hAnsi="Arial"/>
        </w:rPr>
        <w:t xml:space="preserve">Three core values: reciprocity, shared humanity, community-driven care</w:t>
      </w:r>
    </w:p>
    <w:p>
      <w:pPr>
        <w:pStyle w:val="ListParagraph"/>
        <w:numPr>
          <w:ilvl w:val="0"/>
          <w:numId w:val="2"/>
        </w:numPr>
        <w:spacing w:after="100"/>
      </w:pPr>
      <w:r>
        <w:rPr>
          <w:sz w:val="22"/>
          <w:szCs w:val="22"/>
          <w:rFonts w:ascii="Arial" w:cs="Arial" w:eastAsia="Arial" w:hAnsi="Arial"/>
        </w:rPr>
        <w:t xml:space="preserve">Hyper-local activity (street by street) is central to sustained action</w:t>
      </w:r>
    </w:p>
    <w:p>
      <w:pPr>
        <w:pStyle w:val="ListParagraph"/>
        <w:numPr>
          <w:ilvl w:val="0"/>
          <w:numId w:val="2"/>
        </w:numPr>
        <w:spacing w:after="200"/>
      </w:pPr>
      <w:r>
        <w:rPr>
          <w:sz w:val="22"/>
          <w:szCs w:val="22"/>
          <w:rFonts w:ascii="Arial" w:cs="Arial" w:eastAsia="Arial" w:hAnsi="Arial"/>
        </w:rPr>
        <w:t xml:space="preserve">Neighborhood ties are the cornerstone of community action capacity</w:t>
      </w:r>
    </w:p>
    <w:p>
      <w:pPr>
        <w:spacing w:before="120" w:after="160"/>
      </w:pPr>
      <w:r>
        <w:rPr>
          <w:b/>
          <w:bCs/>
          <w:sz w:val="26"/>
          <w:szCs w:val="26"/>
          <w:rFonts w:ascii="Arial" w:cs="Arial" w:eastAsia="Arial" w:hAnsi="Arial"/>
        </w:rPr>
        <w:t xml:space="preserve">For DUMBO specifically: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20"/>
        <w:gridCol w:w="2340"/>
      </w:tblGrid>
      <w:tr>
        <w:tc>
          <w:tcPr>
            <w:tcW w:type="dxa" w:w="7020"/>
            <w:tcBorders>
              <w:top w:val="single" w:color="CCCCCC" w:sz="6"/>
              <w:left w:val="single" w:color="CCCCCC" w:sz="6"/>
              <w:bottom w:val="single" w:color="CCCCCC" w:sz="6"/>
              <w:right w:val="single" w:color="CCCCCC" w:sz="6"/>
            </w:tcBorders>
            <w:shd w:fill="1E3A5F" w:val="clear"/>
            <w:tcMar>
              <w:top w:type="dxa" w:w="80"/>
              <w:left w:type="dxa" w:w="120"/>
              <w:bottom w:type="dxa" w:w="80"/>
              <w:right w:type="dxa" w:w="120"/>
            </w:tcMar>
          </w:tcPr>
          <w:p>
            <w:r>
              <w:rPr>
                <w:b/>
                <w:bCs/>
                <w:color w:val="FFFFFF"/>
                <w:sz w:val="22"/>
                <w:szCs w:val="22"/>
                <w:rFonts w:ascii="Arial" w:cs="Arial" w:eastAsia="Arial" w:hAnsi="Arial"/>
              </w:rPr>
              <w:t xml:space="preserve">Engagement Factor</w:t>
            </w:r>
          </w:p>
        </w:tc>
        <w:tc>
          <w:tcPr>
            <w:tcW w:type="dxa" w:w="2340"/>
            <w:tcBorders>
              <w:top w:val="single" w:color="CCCCCC" w:sz="6"/>
              <w:left w:val="single" w:color="CCCCCC" w:sz="6"/>
              <w:bottom w:val="single" w:color="CCCCCC" w:sz="6"/>
              <w:right w:val="single" w:color="CCCCCC" w:sz="6"/>
            </w:tcBorders>
            <w:shd w:fill="1E3A5F" w:val="clear"/>
            <w:tcMar>
              <w:top w:type="dxa" w:w="80"/>
              <w:left w:type="dxa" w:w="120"/>
              <w:bottom w:type="dxa" w:w="80"/>
              <w:right w:type="dxa" w:w="120"/>
            </w:tcMar>
          </w:tcPr>
          <w:p>
            <w:r>
              <w:rPr>
                <w:b/>
                <w:bCs/>
                <w:color w:val="FFFFFF"/>
                <w:sz w:val="22"/>
                <w:szCs w:val="22"/>
                <w:rFonts w:ascii="Arial" w:cs="Arial" w:eastAsia="Arial" w:hAnsi="Arial"/>
              </w:rPr>
              <w:t xml:space="preserve">DUMBO Status</w:t>
            </w:r>
          </w:p>
        </w:tc>
      </w:tr>
      <w:tr>
        <w:tc>
          <w:tcPr>
            <w:tcW w:type="dxa" w:w="702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Compact geography (hyper-local)</w:t>
            </w:r>
          </w:p>
        </w:tc>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w:t>
            </w:r>
          </w:p>
        </w:tc>
      </w:tr>
      <w:tr>
        <w:tc>
          <w:tcPr>
            <w:tcW w:type="dxa" w:w="7020"/>
            <w:tcBorders>
              <w:top w:val="single" w:color="CCCCCC" w:sz="6"/>
              <w:left w:val="single" w:color="CCCCCC" w:sz="6"/>
              <w:bottom w:val="single" w:color="CCCCCC" w:sz="6"/>
              <w:right w:val="single" w:color="CCCCCC" w:sz="6"/>
            </w:tcBorders>
            <w:shd w:fill="FFFFFF" w:val="clear"/>
            <w:tcMar>
              <w:top w:type="dxa" w:w="80"/>
              <w:left w:type="dxa" w:w="120"/>
              <w:bottom w:type="dxa" w:w="80"/>
              <w:right w:type="dxa" w:w="120"/>
            </w:tcMar>
            <w:vAlign w:val="center"/>
          </w:tcPr>
          <w:p>
            <w:r>
              <w:rPr>
                <w:sz w:val="22"/>
                <w:szCs w:val="22"/>
                <w:rFonts w:ascii="Arial" w:cs="Arial" w:eastAsia="Arial" w:hAnsi="Arial"/>
              </w:rPr>
              <w:t xml:space="preserve">Demographic homogeneity</w:t>
            </w:r>
          </w:p>
        </w:tc>
        <w:tc>
          <w:tcPr>
            <w:tcW w:type="dxa" w:w="2340"/>
            <w:tcBorders>
              <w:top w:val="single" w:color="CCCCCC" w:sz="6"/>
              <w:left w:val="single" w:color="CCCCCC" w:sz="6"/>
              <w:bottom w:val="single" w:color="CCCCCC" w:sz="6"/>
              <w:right w:val="single" w:color="CCCCCC" w:sz="6"/>
            </w:tcBorders>
            <w:shd w:fill="FFFFFF" w:val="clear"/>
            <w:tcMar>
              <w:top w:type="dxa" w:w="80"/>
              <w:left w:type="dxa" w:w="120"/>
              <w:bottom w:type="dxa" w:w="80"/>
              <w:right w:type="dxa" w:w="120"/>
            </w:tcMar>
            <w:vAlign w:val="center"/>
          </w:tcPr>
          <w:p>
            <w:r>
              <w:rPr>
                <w:sz w:val="22"/>
                <w:szCs w:val="22"/>
                <w:rFonts w:ascii="Arial" w:cs="Arial" w:eastAsia="Arial" w:hAnsi="Arial"/>
              </w:rPr>
              <w:t xml:space="preserve">✓</w:t>
            </w:r>
          </w:p>
        </w:tc>
      </w:tr>
      <w:tr>
        <w:tc>
          <w:tcPr>
            <w:tcW w:type="dxa" w:w="702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Residential stability</w:t>
            </w:r>
          </w:p>
        </w:tc>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w:t>
            </w:r>
          </w:p>
        </w:tc>
      </w:tr>
      <w:tr>
        <w:tc>
          <w:tcPr>
            <w:tcW w:type="dxa" w:w="7020"/>
            <w:tcBorders>
              <w:top w:val="single" w:color="CCCCCC" w:sz="6"/>
              <w:left w:val="single" w:color="CCCCCC" w:sz="6"/>
              <w:bottom w:val="single" w:color="CCCCCC" w:sz="6"/>
              <w:right w:val="single" w:color="CCCCCC" w:sz="6"/>
            </w:tcBorders>
            <w:shd w:fill="FFFFFF" w:val="clear"/>
            <w:tcMar>
              <w:top w:type="dxa" w:w="80"/>
              <w:left w:type="dxa" w:w="120"/>
              <w:bottom w:type="dxa" w:w="80"/>
              <w:right w:type="dxa" w:w="120"/>
            </w:tcMar>
            <w:vAlign w:val="center"/>
          </w:tcPr>
          <w:p>
            <w:r>
              <w:rPr>
                <w:sz w:val="22"/>
                <w:szCs w:val="22"/>
                <w:rFonts w:ascii="Arial" w:cs="Arial" w:eastAsia="Arial" w:hAnsi="Arial"/>
              </w:rPr>
              <w:t xml:space="preserve">Family concentration</w:t>
            </w:r>
          </w:p>
        </w:tc>
        <w:tc>
          <w:tcPr>
            <w:tcW w:type="dxa" w:w="2340"/>
            <w:tcBorders>
              <w:top w:val="single" w:color="CCCCCC" w:sz="6"/>
              <w:left w:val="single" w:color="CCCCCC" w:sz="6"/>
              <w:bottom w:val="single" w:color="CCCCCC" w:sz="6"/>
              <w:right w:val="single" w:color="CCCCCC" w:sz="6"/>
            </w:tcBorders>
            <w:shd w:fill="FFFFFF" w:val="clear"/>
            <w:tcMar>
              <w:top w:type="dxa" w:w="80"/>
              <w:left w:type="dxa" w:w="120"/>
              <w:bottom w:type="dxa" w:w="80"/>
              <w:right w:type="dxa" w:w="120"/>
            </w:tcMar>
            <w:vAlign w:val="center"/>
          </w:tcPr>
          <w:p>
            <w:r>
              <w:rPr>
                <w:sz w:val="22"/>
                <w:szCs w:val="22"/>
                <w:rFonts w:ascii="Arial" w:cs="Arial" w:eastAsia="Arial" w:hAnsi="Arial"/>
              </w:rPr>
              <w:t xml:space="preserve">✓</w:t>
            </w:r>
          </w:p>
        </w:tc>
      </w:tr>
      <w:tr>
        <w:tc>
          <w:tcPr>
            <w:tcW w:type="dxa" w:w="702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Dog ownership density</w:t>
            </w:r>
          </w:p>
        </w:tc>
        <w:tc>
          <w:tcPr>
            <w:tcW w:type="dxa" w:w="2340"/>
            <w:tcBorders>
              <w:top w:val="single" w:color="CCCCCC" w:sz="6"/>
              <w:left w:val="single" w:color="CCCCCC" w:sz="6"/>
              <w:bottom w:val="single" w:color="CCCCCC" w:sz="6"/>
              <w:right w:val="single" w:color="CCCCCC" w:sz="6"/>
            </w:tcBorders>
            <w:shd w:fill="F5F5F5" w:val="clear"/>
            <w:tcMar>
              <w:top w:type="dxa" w:w="80"/>
              <w:left w:type="dxa" w:w="120"/>
              <w:bottom w:type="dxa" w:w="80"/>
              <w:right w:type="dxa" w:w="120"/>
            </w:tcMar>
            <w:vAlign w:val="center"/>
          </w:tcPr>
          <w:p>
            <w:r>
              <w:rPr>
                <w:sz w:val="22"/>
                <w:szCs w:val="22"/>
                <w:rFonts w:ascii="Arial" w:cs="Arial" w:eastAsia="Arial" w:hAnsi="Arial"/>
              </w:rPr>
              <w:t xml:space="preserve">✓</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D7A3F" w:sz="8"/>
              <w:left w:val="single" w:color="2D7A3F" w:sz="12"/>
              <w:bottom w:val="single" w:color="2D7A3F" w:sz="8"/>
              <w:right w:val="single" w:color="2D7A3F" w:sz="8"/>
            </w:tcBorders>
            <w:shd w:fill="F0F8F0" w:val="clear"/>
            <w:tcMar>
              <w:top w:type="dxa" w:w="100"/>
              <w:left w:type="dxa" w:w="120"/>
              <w:bottom w:type="dxa" w:w="100"/>
              <w:right w:type="dxa" w:w="120"/>
            </w:tcMar>
          </w:tcPr>
          <w:p>
            <w:pPr>
              <w:spacing w:after="120"/>
            </w:pPr>
            <w:r>
              <w:rPr>
                <w:b/>
                <w:bCs/>
                <w:color w:val="2D7A3F"/>
                <w:sz w:val="24"/>
                <w:szCs w:val="24"/>
                <w:rFonts w:ascii="Arial" w:cs="Arial" w:eastAsia="Arial" w:hAnsi="Arial"/>
              </w:rPr>
              <w:t xml:space="preserve">→ So What for PBN</w:t>
            </w:r>
          </w:p>
          <w:p>
            <w:r>
              <w:rPr>
                <w:color w:val="333333"/>
                <w:sz w:val="22"/>
                <w:szCs w:val="22"/>
                <w:rFonts w:ascii="Arial" w:cs="Arial" w:eastAsia="Arial" w:hAnsi="Arial"/>
              </w:rPr>
              <w:t xml:space="preserve">DUMBO checks every box that academic research identifies as a predictor of successful mutual aid communities.</w:t>
            </w:r>
          </w:p>
        </w:tc>
      </w:tr>
    </w:tbl>
    <w:p>
      <w:pPr>
        <w:spacing w:after="240"/>
      </w:pPr>
    </w:p>
    <w:p>
      <w:pPr>
        <w:pStyle w:val="Heading1"/>
        <w:spacing w:before="100" w:after="200"/>
      </w:pPr>
      <w:r>
        <w:rPr>
          <w:b/>
          <w:bCs/>
          <w:color w:val="1E3A5F"/>
          <w:sz w:val="32"/>
          <w:szCs w:val="32"/>
          <w:rFonts w:ascii="Arial" w:cs="Arial" w:eastAsia="Arial" w:hAnsi="Arial"/>
        </w:rPr>
        <w:t xml:space="preserve">Key Data Gaps &amp; Next Steps</w:t>
      </w:r>
    </w:p>
    <w:p>
      <w:pPr>
        <w:pStyle w:val="ListParagraph"/>
        <w:numPr>
          <w:ilvl w:val="0"/>
          <w:numId w:val="3"/>
        </w:numPr>
        <w:spacing w:after="100"/>
      </w:pPr>
      <w:r>
        <w:rPr>
          <w:sz w:val="22"/>
          <w:szCs w:val="22"/>
          <w:rFonts w:ascii="Arial" w:cs="Arial" w:eastAsia="Arial" w:hAnsi="Arial"/>
        </w:rPr>
        <w:t xml:space="preserve">DUMBO-specific dual-income household rate → validate in interviews</w:t>
      </w:r>
    </w:p>
    <w:p>
      <w:pPr>
        <w:pStyle w:val="ListParagraph"/>
        <w:numPr>
          <w:ilvl w:val="0"/>
          <w:numId w:val="3"/>
        </w:numPr>
        <w:spacing w:after="100"/>
      </w:pPr>
      <w:r>
        <w:rPr>
          <w:sz w:val="22"/>
          <w:szCs w:val="22"/>
          <w:rFonts w:ascii="Arial" w:cs="Arial" w:eastAsia="Arial" w:hAnsi="Arial"/>
        </w:rPr>
        <w:t xml:space="preserve">Average age of children in DUMBO → validate in interviews</w:t>
      </w:r>
    </w:p>
    <w:p>
      <w:pPr>
        <w:pStyle w:val="ListParagraph"/>
        <w:numPr>
          <w:ilvl w:val="0"/>
          <w:numId w:val="3"/>
        </w:numPr>
        <w:spacing w:after="100"/>
      </w:pPr>
      <w:r>
        <w:rPr>
          <w:sz w:val="22"/>
          <w:szCs w:val="22"/>
          <w:rFonts w:ascii="Arial" w:cs="Arial" w:eastAsia="Arial" w:hAnsi="Arial"/>
        </w:rPr>
        <w:t xml:space="preserve">Actual co-op count in DUMBO area → property records research</w:t>
      </w:r>
    </w:p>
    <w:p>
      <w:pPr>
        <w:pStyle w:val="ListParagraph"/>
        <w:numPr>
          <w:ilvl w:val="0"/>
          <w:numId w:val="3"/>
        </w:numPr>
        <w:spacing w:after="240"/>
      </w:pPr>
      <w:r>
        <w:rPr>
          <w:sz w:val="22"/>
          <w:szCs w:val="22"/>
          <w:rFonts w:ascii="Arial" w:cs="Arial" w:eastAsia="Arial" w:hAnsi="Arial"/>
        </w:rPr>
        <w:t xml:space="preserve">Neighbor trust survey → could design simple survey for interview participants</w:t>
      </w:r>
    </w:p>
    <w:p>
      <w:pPr>
        <w:pStyle w:val="Heading1"/>
        <w:spacing w:before="100" w:after="200"/>
      </w:pPr>
      <w:r>
        <w:rPr>
          <w:b/>
          <w:bCs/>
          <w:color w:val="1E3A5F"/>
          <w:sz w:val="32"/>
          <w:szCs w:val="32"/>
          <w:rFonts w:ascii="Arial" w:cs="Arial" w:eastAsia="Arial" w:hAnsi="Arial"/>
        </w:rPr>
        <w:t xml:space="preserve">Sources</w:t>
      </w:r>
    </w:p>
    <w:p>
      <w:pPr>
        <w:pStyle w:val="ListParagraph"/>
        <w:numPr>
          <w:ilvl w:val="0"/>
          <w:numId w:val="2"/>
        </w:numPr>
        <w:spacing w:after="100"/>
      </w:pPr>
      <w:r>
        <w:rPr>
          <w:sz w:val="22"/>
          <w:szCs w:val="22"/>
          <w:rFonts w:ascii="Arial" w:cs="Arial" w:eastAsia="Arial" w:hAnsi="Arial"/>
        </w:rPr>
        <w:t xml:space="preserve">Robert Putnam (2007), "E Pluribus Unum", Scandinavian Political Studies</w:t>
      </w:r>
    </w:p>
    <w:p>
      <w:pPr>
        <w:pStyle w:val="ListParagraph"/>
        <w:numPr>
          <w:ilvl w:val="0"/>
          <w:numId w:val="2"/>
        </w:numPr>
        <w:spacing w:after="100"/>
      </w:pPr>
      <w:r>
        <w:rPr>
          <w:sz w:val="22"/>
          <w:szCs w:val="22"/>
          <w:rFonts w:ascii="Arial" w:cs="Arial" w:eastAsia="Arial" w:hAnsi="Arial"/>
        </w:rPr>
        <w:t xml:space="preserve">Sampson, Raudenbush &amp; Earls (1997), "Collective Efficacy", Science</w:t>
      </w:r>
    </w:p>
    <w:p>
      <w:pPr>
        <w:pStyle w:val="ListParagraph"/>
        <w:numPr>
          <w:ilvl w:val="0"/>
          <w:numId w:val="2"/>
        </w:numPr>
        <w:spacing w:after="100"/>
      </w:pPr>
      <w:r>
        <w:rPr>
          <w:sz w:val="22"/>
          <w:szCs w:val="22"/>
          <w:rFonts w:ascii="Arial" w:cs="Arial" w:eastAsia="Arial" w:hAnsi="Arial"/>
        </w:rPr>
        <w:t xml:space="preserve">Bender et al. (2024), "Mutual Aid Proliferation", Am. J. of Community Psych.</w:t>
      </w:r>
    </w:p>
    <w:p>
      <w:pPr>
        <w:pStyle w:val="ListParagraph"/>
        <w:numPr>
          <w:ilvl w:val="0"/>
          <w:numId w:val="2"/>
        </w:numPr>
        <w:spacing w:after="100"/>
      </w:pPr>
      <w:r>
        <w:rPr>
          <w:sz w:val="22"/>
          <w:szCs w:val="22"/>
          <w:rFonts w:ascii="Arial" w:cs="Arial" w:eastAsia="Arial" w:hAnsi="Arial"/>
        </w:rPr>
        <w:t xml:space="preserve">US Census Bureau, American Community Survey 2019-2023</w:t>
      </w:r>
    </w:p>
    <w:p>
      <w:pPr>
        <w:pStyle w:val="ListParagraph"/>
        <w:numPr>
          <w:ilvl w:val="0"/>
          <w:numId w:val="2"/>
        </w:numPr>
        <w:spacing w:after="100"/>
      </w:pPr>
      <w:r>
        <w:rPr>
          <w:sz w:val="22"/>
          <w:szCs w:val="22"/>
          <w:rFonts w:ascii="Arial" w:cs="Arial" w:eastAsia="Arial" w:hAnsi="Arial"/>
        </w:rPr>
        <w:t xml:space="preserve">Bureau of Labor Statistics, 2024</w:t>
      </w:r>
    </w:p>
    <w:p>
      <w:pPr>
        <w:pStyle w:val="ListParagraph"/>
        <w:numPr>
          <w:ilvl w:val="0"/>
          <w:numId w:val="2"/>
        </w:numPr>
        <w:spacing w:after="100"/>
      </w:pPr>
      <w:r>
        <w:rPr>
          <w:sz w:val="22"/>
          <w:szCs w:val="22"/>
          <w:rFonts w:ascii="Arial" w:cs="Arial" w:eastAsia="Arial" w:hAnsi="Arial"/>
        </w:rPr>
        <w:t xml:space="preserve">StreetEasy/Rover Dog-Friendly Neighborhoods Study, 2017</w:t>
      </w:r>
    </w:p>
    <w:p>
      <w:pPr>
        <w:pStyle w:val="ListParagraph"/>
        <w:numPr>
          <w:ilvl w:val="0"/>
          <w:numId w:val="2"/>
        </w:numPr>
        <w:spacing w:after="100"/>
      </w:pPr>
      <w:r>
        <w:rPr>
          <w:sz w:val="22"/>
          <w:szCs w:val="22"/>
          <w:rFonts w:ascii="Arial" w:cs="Arial" w:eastAsia="Arial" w:hAnsi="Arial"/>
        </w:rPr>
        <w:t xml:space="preserve">Point2Homes DUMBO Demographics</w:t>
      </w:r>
    </w:p>
    <w:p>
      <w:pPr>
        <w:pStyle w:val="ListParagraph"/>
        <w:numPr>
          <w:ilvl w:val="0"/>
          <w:numId w:val="2"/>
        </w:numPr>
        <w:spacing w:after="100"/>
      </w:pPr>
      <w:r>
        <w:rPr>
          <w:sz w:val="22"/>
          <w:szCs w:val="22"/>
          <w:rFonts w:ascii="Arial" w:cs="Arial" w:eastAsia="Arial" w:hAnsi="Arial"/>
        </w:rPr>
        <w:t xml:space="preserve">Brooklyn Bridge Parents Neighborhood Data</w:t>
      </w:r>
    </w:p>
    <w:p>
      <w:pPr>
        <w:pStyle w:val="ListParagraph"/>
        <w:numPr>
          <w:ilvl w:val="0"/>
          <w:numId w:val="2"/>
        </w:numPr>
        <w:spacing w:after="100"/>
      </w:pPr>
      <w:r>
        <w:rPr>
          <w:sz w:val="22"/>
          <w:szCs w:val="22"/>
          <w:rFonts w:ascii="Arial" w:cs="Arial" w:eastAsia="Arial" w:hAnsi="Arial"/>
        </w:rPr>
        <w:t xml:space="preserve">BOND Market Report Q3 2023</w:t>
      </w:r>
    </w:p>
    <w:p>
      <w:pPr>
        <w:pStyle w:val="ListParagraph"/>
        <w:numPr>
          <w:ilvl w:val="0"/>
          <w:numId w:val="2"/>
        </w:numPr>
        <w:spacing w:after="240"/>
      </w:pPr>
      <w:r>
        <w:rPr>
          <w:sz w:val="22"/>
          <w:szCs w:val="22"/>
          <w:rFonts w:ascii="Arial" w:cs="Arial" w:eastAsia="Arial" w:hAnsi="Arial"/>
        </w:rPr>
        <w:t xml:space="preserve">MNS Real Estate Brooklyn Year End Report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100"/>
      <w:jc w:val="left"/>
    </w:pPr>
    <w:r>
      <w:t xml:space="preserve">Perfect Neighbor — DUMBO Demographics Research</w:t>
    </w:r>
    <w:r>
      <w:rPr>
        <w:color w:val="666666"/>
        <w:sz w:val="20"/>
        <w:szCs w:val="20"/>
        <w:rFonts w:ascii="Arial" w:cs="Arial" w:eastAsia="Arial" w:hAnsi="Arial"/>
      </w:rPr>
      <w:t xml:space="preserve">Perfect Neighbor — DUMBO Demographics Research</w:t>
    </w:r>
  </w:p>
  <w:p>
    <w:pPr>
      <w:jc w:val="right"/>
    </w:pPr>
    <w:r>
      <w:rPr>
        <w:color w:val="666666"/>
        <w:sz w:val="20"/>
        <w:szCs w:val="20"/>
        <w:rFonts w:ascii="Arial" w:cs="Arial" w:eastAsia="Arial" w:hAnsi="Arial"/>
      </w:rPr>
      <w:t xml:space="preserve">Page </w:t>
    </w:r>
    <w:r>
      <w:rPr>
        <w:color w:val="666666"/>
        <w:sz w:val="20"/>
        <w:szCs w:val="20"/>
        <w:rFonts w:ascii="Arial" w:cs="Arial" w:eastAsia="Arial" w:hAnsi="Arial"/>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b/>
      <w:bCs/>
      <w:sz w:val="32"/>
      <w:szCs w:val="3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2026-03-16T05:54:30.631Z</dcterms:created>
  <dcterms:modified xsi:type="dcterms:W3CDTF">2026-03-16T05:54:30.637Z</dcterms:modified>
</cp:coreProperties>
</file>

<file path=docProps/custom.xml><?xml version="1.0" encoding="utf-8"?>
<Properties xmlns="http://schemas.openxmlformats.org/officeDocument/2006/custom-properties" xmlns:vt="http://schemas.openxmlformats.org/officeDocument/2006/docPropsVTypes"/>
</file>